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6C3" w:rsidRDefault="003D26C3" w:rsidP="003D26C3">
      <w:pPr>
        <w:spacing w:after="0" w:line="480" w:lineRule="auto"/>
        <w:jc w:val="center"/>
      </w:pPr>
    </w:p>
    <w:p w:rsidR="003D26C3" w:rsidRDefault="003D26C3" w:rsidP="003D26C3">
      <w:pPr>
        <w:spacing w:after="0" w:line="480" w:lineRule="auto"/>
        <w:jc w:val="center"/>
      </w:pPr>
    </w:p>
    <w:p w:rsidR="003D26C3" w:rsidRDefault="003D26C3" w:rsidP="003D26C3">
      <w:pPr>
        <w:spacing w:after="0" w:line="480" w:lineRule="auto"/>
        <w:jc w:val="center"/>
      </w:pPr>
    </w:p>
    <w:p w:rsidR="003D26C3" w:rsidRDefault="003D26C3" w:rsidP="003D26C3">
      <w:pPr>
        <w:spacing w:after="0" w:line="480" w:lineRule="auto"/>
        <w:jc w:val="center"/>
      </w:pPr>
    </w:p>
    <w:p w:rsidR="003D26C3" w:rsidRDefault="003D26C3" w:rsidP="003D26C3">
      <w:pPr>
        <w:spacing w:after="0" w:line="480" w:lineRule="auto"/>
        <w:jc w:val="center"/>
      </w:pPr>
    </w:p>
    <w:p w:rsidR="003D26C3" w:rsidRDefault="003D26C3" w:rsidP="003D26C3">
      <w:pPr>
        <w:spacing w:after="0" w:line="480" w:lineRule="auto"/>
        <w:jc w:val="center"/>
      </w:pPr>
    </w:p>
    <w:p w:rsidR="003D26C3" w:rsidRDefault="003D26C3" w:rsidP="003D26C3">
      <w:pPr>
        <w:spacing w:after="0" w:line="480" w:lineRule="auto"/>
        <w:jc w:val="center"/>
      </w:pPr>
    </w:p>
    <w:p w:rsidR="003D26C3" w:rsidRDefault="003D26C3" w:rsidP="003D26C3">
      <w:pPr>
        <w:spacing w:after="0" w:line="480" w:lineRule="auto"/>
        <w:jc w:val="center"/>
      </w:pPr>
    </w:p>
    <w:p w:rsidR="00B63362" w:rsidRDefault="008838E5" w:rsidP="003D26C3">
      <w:pPr>
        <w:spacing w:after="0" w:line="480" w:lineRule="auto"/>
        <w:jc w:val="center"/>
      </w:pPr>
      <w:bookmarkStart w:id="0" w:name="_GoBack"/>
      <w:r>
        <w:t xml:space="preserve">Workstation Safety </w:t>
      </w:r>
      <w:r w:rsidR="003D26C3" w:rsidRPr="003D26C3">
        <w:t>regarding REBA</w:t>
      </w:r>
      <w:r w:rsidR="003D26C3">
        <w:t xml:space="preserve"> and RULA</w:t>
      </w:r>
    </w:p>
    <w:bookmarkEnd w:id="0"/>
    <w:p w:rsidR="003D26C3" w:rsidRDefault="008838E5" w:rsidP="003D26C3">
      <w:pPr>
        <w:spacing w:after="0" w:line="480" w:lineRule="auto"/>
        <w:jc w:val="center"/>
      </w:pPr>
      <w:r>
        <w:t>Student Name</w:t>
      </w:r>
    </w:p>
    <w:p w:rsidR="003D26C3" w:rsidRDefault="008838E5" w:rsidP="003D26C3">
      <w:pPr>
        <w:spacing w:after="0" w:line="480" w:lineRule="auto"/>
        <w:jc w:val="center"/>
      </w:pPr>
      <w:r>
        <w:t>Institution Affiliation</w:t>
      </w:r>
    </w:p>
    <w:p w:rsidR="003D26C3" w:rsidRDefault="008838E5" w:rsidP="003D26C3">
      <w:pPr>
        <w:spacing w:after="0" w:line="480" w:lineRule="auto"/>
        <w:jc w:val="left"/>
      </w:pPr>
      <w:r>
        <w:br w:type="page"/>
      </w:r>
    </w:p>
    <w:p w:rsidR="003D26C3" w:rsidRDefault="008838E5" w:rsidP="003D26C3">
      <w:pPr>
        <w:spacing w:after="0" w:line="480" w:lineRule="auto"/>
        <w:jc w:val="center"/>
      </w:pPr>
      <w:r w:rsidRPr="003D26C3">
        <w:lastRenderedPageBreak/>
        <w:t>Workstation Safety regarding REBA and RULA</w:t>
      </w:r>
    </w:p>
    <w:p w:rsidR="00E46EE8" w:rsidRDefault="008838E5" w:rsidP="003D26C3">
      <w:pPr>
        <w:spacing w:after="0" w:line="480" w:lineRule="auto"/>
        <w:ind w:firstLine="720"/>
      </w:pPr>
      <w:r>
        <w:t xml:space="preserve">While business operations are taking place within the workstation, the safety of all the employees in the workstation is a major critical issue. Regarding </w:t>
      </w:r>
      <w:r w:rsidRPr="000C27CC">
        <w:t>Rapid entire body Assessment (</w:t>
      </w:r>
      <w:r>
        <w:t xml:space="preserve">REBA) and </w:t>
      </w:r>
      <w:r w:rsidRPr="000C27CC">
        <w:t>Rapid Upper Limb Assessment (RULA)</w:t>
      </w:r>
      <w:r>
        <w:t>, the workstation under con</w:t>
      </w:r>
      <w:r>
        <w:t xml:space="preserve">sideration, in this case, has tried to the level best to ensure the safety of the </w:t>
      </w:r>
      <w:r w:rsidR="00E8575B">
        <w:t>employees. However</w:t>
      </w:r>
      <w:r w:rsidR="00C26046">
        <w:t xml:space="preserve">, then there are several areas in the workstation that needs to be improved to ensure that </w:t>
      </w:r>
      <w:r w:rsidR="00E8575B">
        <w:t>employees</w:t>
      </w:r>
      <w:r w:rsidR="00C26046">
        <w:t xml:space="preserve"> within the workstation are completely safe and </w:t>
      </w:r>
      <w:r w:rsidR="00E8575B">
        <w:t>secure</w:t>
      </w:r>
      <w:r w:rsidR="00C26046">
        <w:t xml:space="preserve"> as well as ensuring that the </w:t>
      </w:r>
      <w:r w:rsidR="00E8575B">
        <w:t>organization</w:t>
      </w:r>
      <w:r w:rsidR="00C26046">
        <w:t xml:space="preserve"> completely adheres to the Occupational Safety and Health Administration (OSHA). </w:t>
      </w:r>
    </w:p>
    <w:p w:rsidR="00E8575B" w:rsidRDefault="008838E5" w:rsidP="003D26C3">
      <w:pPr>
        <w:spacing w:after="0" w:line="480" w:lineRule="auto"/>
        <w:ind w:firstLine="720"/>
      </w:pPr>
      <w:r>
        <w:t xml:space="preserve">The organization mainly utilizes </w:t>
      </w:r>
      <w:r w:rsidRPr="00E8575B">
        <w:t>Rapid Upper Limb Assessment (RULA)</w:t>
      </w:r>
      <w:r>
        <w:t xml:space="preserve"> in evaluating if all their employees usually maintain the correct </w:t>
      </w:r>
      <w:r>
        <w:t>and recommended body posture while undertaking their daily work within the organization. Additionally, the ergonometric officer usually evaluates the type of movements done in the efforts of ensuring that all the employees are kept safe while in the work s</w:t>
      </w:r>
      <w:r>
        <w:t>tation</w:t>
      </w:r>
      <w:r w:rsidR="003D26C3">
        <w:t xml:space="preserve"> (</w:t>
      </w:r>
      <w:r w:rsidR="003D26C3" w:rsidRPr="003D26C3">
        <w:t>Jiang, Liu, Fu, Xue, Luo</w:t>
      </w:r>
      <w:r w:rsidR="003D26C3">
        <w:t xml:space="preserve"> </w:t>
      </w:r>
      <w:r w:rsidR="003D26C3" w:rsidRPr="003D26C3">
        <w:t>&amp; Wang, 2017</w:t>
      </w:r>
      <w:r w:rsidR="003D26C3">
        <w:t>)</w:t>
      </w:r>
      <w:r>
        <w:t xml:space="preserve">. </w:t>
      </w:r>
      <w:r w:rsidR="00A75F48">
        <w:t>Only the maximum allowed time should be spent in the workstation since repetition in can be more fatigue. Also, all forceful accusations within the workplace should be maintained at the minimum level in the efforts of ensuring that all the employees within the workstation are kept safe.</w:t>
      </w:r>
    </w:p>
    <w:p w:rsidR="00A75F48" w:rsidRDefault="008838E5" w:rsidP="003D26C3">
      <w:pPr>
        <w:spacing w:after="0" w:line="480" w:lineRule="auto"/>
        <w:ind w:firstLine="720"/>
      </w:pPr>
      <w:r>
        <w:t xml:space="preserve">An </w:t>
      </w:r>
      <w:r w:rsidRPr="00A75F48">
        <w:t>ergonometric officer</w:t>
      </w:r>
      <w:r>
        <w:t xml:space="preserve"> will collect data as well as assigning different scores to the various body parts including the neck, the forearms, shoulders, elbows, and wrists plus a</w:t>
      </w:r>
      <w:r>
        <w:t>ll the factors that are indicated.</w:t>
      </w:r>
      <w:r w:rsidR="003439F3">
        <w:t xml:space="preserve"> Later, all the data is analyses resulting in proper action being taken to help protect the employees</w:t>
      </w:r>
      <w:r w:rsidR="003D26C3">
        <w:t xml:space="preserve"> </w:t>
      </w:r>
      <w:r w:rsidR="003D26C3" w:rsidRPr="003D26C3">
        <w:t>(Topie, Buchanan, Madden, &amp; Fagel, 2015)</w:t>
      </w:r>
      <w:r w:rsidR="003439F3">
        <w:t xml:space="preserve">. Usually, the scores are usually categorized in different terms including the very high risk, high risk, medium risk, low risk, and negligible risk. Based on the analysis results found, several actions are taken including employees been advised to avoid difficult postures when using machines, reducing the postures with the most </w:t>
      </w:r>
      <w:r w:rsidR="003439F3">
        <w:lastRenderedPageBreak/>
        <w:t>prolonged period of work, and also reducing the posture in which the highest forces of loads are used. However, despite the efforts made to curb posture risk factors, the issues associated with the neck have not yet been well addressed hence need to be precisely put into considerations.</w:t>
      </w:r>
    </w:p>
    <w:p w:rsidR="00E36035" w:rsidRDefault="008838E5" w:rsidP="003D26C3">
      <w:pPr>
        <w:spacing w:after="0" w:line="480" w:lineRule="auto"/>
        <w:ind w:firstLine="720"/>
      </w:pPr>
      <w:r>
        <w:t xml:space="preserve">Various risks associated with the various job tasks within the workstation as well as analyzing the whole body posture is done using </w:t>
      </w:r>
      <w:r w:rsidRPr="00E36035">
        <w:t>Rapid entire body Assessment (REBA)</w:t>
      </w:r>
      <w:r>
        <w:t>. Any assessment done including Rapid upper Limb Assessment i</w:t>
      </w:r>
      <w:r>
        <w:t>s usually categorized as either very high risk, high risk, medium risk, low risk or negligible risk. During the assessment, observations on the employee postures are made as well as employees getting interviewed in the efforts of obtaining information abou</w:t>
      </w:r>
      <w:r>
        <w:t xml:space="preserve">t the amount of force that is used in various jobs. Employees who use a lot of force in their jobs, those working for long hours and those who carry heavy loads have an assessment of lends, neck, and trunk being made resulting to making several changes to </w:t>
      </w:r>
      <w:r>
        <w:t>enhance employee safety</w:t>
      </w:r>
      <w:r w:rsidR="003D6CA2">
        <w:t xml:space="preserve"> (Al Madani &amp; Dababneh, </w:t>
      </w:r>
      <w:r w:rsidR="003D6CA2" w:rsidRPr="003D6CA2">
        <w:t>201</w:t>
      </w:r>
      <w:r w:rsidR="003D6CA2">
        <w:t>6)</w:t>
      </w:r>
      <w:r>
        <w:t xml:space="preserve">. </w:t>
      </w:r>
    </w:p>
    <w:p w:rsidR="00E36035" w:rsidRDefault="008838E5" w:rsidP="003D26C3">
      <w:pPr>
        <w:spacing w:after="0" w:line="480" w:lineRule="auto"/>
        <w:ind w:firstLine="720"/>
      </w:pPr>
      <w:r>
        <w:t>I think that strict penalties need to be laid down to all the organizations (employers) whom in one way or the other fails to implement strategies hence risking the employees to safety risks that could</w:t>
      </w:r>
      <w:r>
        <w:t xml:space="preserve"> be avoided. Therefore all organizations employees should be in the first lone to support the utilization OSHA standards regarding  </w:t>
      </w:r>
      <w:r w:rsidRPr="003D6CA2">
        <w:t>Rapid entire body Assessment (REBA)</w:t>
      </w:r>
      <w:r>
        <w:t xml:space="preserve"> and </w:t>
      </w:r>
      <w:r w:rsidRPr="003D6CA2">
        <w:t>Rapid Upper Limb Assessment (RULA)</w:t>
      </w:r>
      <w:r>
        <w:t xml:space="preserve"> to ensure that their employers create a conducive</w:t>
      </w:r>
      <w:r>
        <w:t xml:space="preserve"> working environment</w:t>
      </w:r>
      <w:r w:rsidR="003D26C3">
        <w:t xml:space="preserve"> (</w:t>
      </w:r>
      <w:r w:rsidR="003D26C3" w:rsidRPr="003D26C3">
        <w:t xml:space="preserve">Topie, Buchanan, </w:t>
      </w:r>
      <w:r w:rsidR="003D26C3">
        <w:t>Madden, &amp; Fagel, 2015)</w:t>
      </w:r>
      <w:r>
        <w:t xml:space="preserve">. </w:t>
      </w:r>
    </w:p>
    <w:p w:rsidR="003D26C3" w:rsidRDefault="008838E5" w:rsidP="003D26C3">
      <w:pPr>
        <w:spacing w:after="0" w:line="480" w:lineRule="auto"/>
        <w:jc w:val="left"/>
      </w:pPr>
      <w:r>
        <w:br w:type="page"/>
      </w:r>
    </w:p>
    <w:p w:rsidR="003D6CA2" w:rsidRDefault="008838E5" w:rsidP="003D26C3">
      <w:pPr>
        <w:spacing w:after="0" w:line="480" w:lineRule="auto"/>
        <w:jc w:val="center"/>
      </w:pPr>
      <w:r>
        <w:lastRenderedPageBreak/>
        <w:t>References</w:t>
      </w:r>
    </w:p>
    <w:p w:rsidR="003D26C3" w:rsidRPr="003D6CA2" w:rsidRDefault="008838E5" w:rsidP="003D26C3">
      <w:pPr>
        <w:spacing w:after="0" w:line="480" w:lineRule="auto"/>
        <w:ind w:left="720" w:hanging="720"/>
        <w:jc w:val="left"/>
        <w:rPr>
          <w:rFonts w:eastAsia="Times New Roman" w:cs="Times New Roman"/>
          <w:szCs w:val="24"/>
        </w:rPr>
      </w:pPr>
      <w:r w:rsidRPr="003D6CA2">
        <w:rPr>
          <w:rFonts w:eastAsia="Times New Roman" w:cs="Times New Roman"/>
          <w:szCs w:val="24"/>
        </w:rPr>
        <w:t xml:space="preserve">Al Madani, D., &amp; Dababneh, A. (2016). Rapid entire body assessment: a literature review. </w:t>
      </w:r>
      <w:r w:rsidRPr="003D6CA2">
        <w:rPr>
          <w:rFonts w:eastAsia="Times New Roman" w:cs="Times New Roman"/>
          <w:i/>
          <w:iCs/>
          <w:szCs w:val="24"/>
        </w:rPr>
        <w:t>American Journal of Engineering and Applied Sciences</w:t>
      </w:r>
      <w:r w:rsidRPr="003D6CA2">
        <w:rPr>
          <w:rFonts w:eastAsia="Times New Roman" w:cs="Times New Roman"/>
          <w:szCs w:val="24"/>
        </w:rPr>
        <w:t xml:space="preserve">, </w:t>
      </w:r>
      <w:r w:rsidRPr="003D6CA2">
        <w:rPr>
          <w:rFonts w:eastAsia="Times New Roman" w:cs="Times New Roman"/>
          <w:i/>
          <w:iCs/>
          <w:szCs w:val="24"/>
        </w:rPr>
        <w:t>9</w:t>
      </w:r>
      <w:r w:rsidRPr="003D6CA2">
        <w:rPr>
          <w:rFonts w:eastAsia="Times New Roman" w:cs="Times New Roman"/>
          <w:szCs w:val="24"/>
        </w:rPr>
        <w:t>(1), 107-118.</w:t>
      </w:r>
    </w:p>
    <w:p w:rsidR="003D26C3" w:rsidRPr="003D6CA2" w:rsidRDefault="008838E5" w:rsidP="003D26C3">
      <w:pPr>
        <w:spacing w:after="0" w:line="480" w:lineRule="auto"/>
        <w:ind w:left="720" w:hanging="720"/>
        <w:jc w:val="left"/>
        <w:rPr>
          <w:rFonts w:eastAsia="Times New Roman" w:cs="Times New Roman"/>
          <w:szCs w:val="24"/>
        </w:rPr>
      </w:pPr>
      <w:r w:rsidRPr="003D6CA2">
        <w:rPr>
          <w:rFonts w:eastAsia="Times New Roman" w:cs="Times New Roman"/>
          <w:szCs w:val="24"/>
        </w:rPr>
        <w:t xml:space="preserve">Jiang, S., Liu, P., Fu, D., Xue, Y., Luo, W., &amp; Wang, M. (2017, April). A low-cost rapid upper limb assessment method in manual assembly line based on somatosensory interaction technology. In </w:t>
      </w:r>
      <w:r w:rsidRPr="003D6CA2">
        <w:rPr>
          <w:rFonts w:eastAsia="Times New Roman" w:cs="Times New Roman"/>
          <w:i/>
          <w:iCs/>
          <w:szCs w:val="24"/>
        </w:rPr>
        <w:t>AIP Conference Proceedings</w:t>
      </w:r>
      <w:r w:rsidRPr="003D6CA2">
        <w:rPr>
          <w:rFonts w:eastAsia="Times New Roman" w:cs="Times New Roman"/>
          <w:szCs w:val="24"/>
        </w:rPr>
        <w:t xml:space="preserve"> (Vol. 1834, No. 1, p. 030010). AIP Pu</w:t>
      </w:r>
      <w:r w:rsidRPr="003D6CA2">
        <w:rPr>
          <w:rFonts w:eastAsia="Times New Roman" w:cs="Times New Roman"/>
          <w:szCs w:val="24"/>
        </w:rPr>
        <w:t>blishing.</w:t>
      </w:r>
    </w:p>
    <w:p w:rsidR="003D26C3" w:rsidRPr="003D6CA2" w:rsidRDefault="008838E5" w:rsidP="003D26C3">
      <w:pPr>
        <w:spacing w:after="0" w:line="480" w:lineRule="auto"/>
        <w:ind w:left="720" w:hanging="720"/>
        <w:jc w:val="left"/>
        <w:rPr>
          <w:rFonts w:eastAsia="Times New Roman" w:cs="Times New Roman"/>
          <w:szCs w:val="24"/>
        </w:rPr>
      </w:pPr>
      <w:r w:rsidRPr="003D6CA2">
        <w:rPr>
          <w:rFonts w:eastAsia="Times New Roman" w:cs="Times New Roman"/>
          <w:szCs w:val="24"/>
        </w:rPr>
        <w:t xml:space="preserve">Topie, J., Buchanan, E., Madden, T., &amp; Fagel, M. (2015). Employee Safety. In </w:t>
      </w:r>
      <w:r w:rsidRPr="003D6CA2">
        <w:rPr>
          <w:rFonts w:eastAsia="Times New Roman" w:cs="Times New Roman"/>
          <w:i/>
          <w:iCs/>
          <w:szCs w:val="24"/>
        </w:rPr>
        <w:t>Regulatory Foundations for the Food Protection Professional</w:t>
      </w:r>
      <w:r w:rsidRPr="003D6CA2">
        <w:rPr>
          <w:rFonts w:eastAsia="Times New Roman" w:cs="Times New Roman"/>
          <w:szCs w:val="24"/>
        </w:rPr>
        <w:t xml:space="preserve"> (pp. 251-262). Springer, New York, NY.</w:t>
      </w:r>
    </w:p>
    <w:p w:rsidR="003D6CA2" w:rsidRDefault="003D6CA2" w:rsidP="003D26C3">
      <w:pPr>
        <w:spacing w:after="0" w:line="480" w:lineRule="auto"/>
        <w:ind w:left="720" w:hanging="720"/>
      </w:pPr>
    </w:p>
    <w:sectPr w:rsidR="003D6CA2" w:rsidSect="003D26C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8E5" w:rsidRDefault="008838E5">
      <w:pPr>
        <w:spacing w:after="0" w:line="240" w:lineRule="auto"/>
      </w:pPr>
      <w:r>
        <w:separator/>
      </w:r>
    </w:p>
  </w:endnote>
  <w:endnote w:type="continuationSeparator" w:id="0">
    <w:p w:rsidR="008838E5" w:rsidRDefault="00883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8E5" w:rsidRDefault="008838E5">
      <w:pPr>
        <w:spacing w:after="0" w:line="240" w:lineRule="auto"/>
      </w:pPr>
      <w:r>
        <w:separator/>
      </w:r>
    </w:p>
  </w:footnote>
  <w:footnote w:type="continuationSeparator" w:id="0">
    <w:p w:rsidR="008838E5" w:rsidRDefault="008838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33472"/>
      <w:docPartObj>
        <w:docPartGallery w:val="Page Numbers (Top of Page)"/>
        <w:docPartUnique/>
      </w:docPartObj>
    </w:sdtPr>
    <w:sdtEndPr>
      <w:rPr>
        <w:noProof/>
      </w:rPr>
    </w:sdtEndPr>
    <w:sdtContent>
      <w:p w:rsidR="003D26C3" w:rsidRDefault="008838E5">
        <w:pPr>
          <w:pStyle w:val="Header"/>
          <w:jc w:val="right"/>
        </w:pPr>
        <w:r>
          <w:fldChar w:fldCharType="begin"/>
        </w:r>
        <w:r>
          <w:instrText xml:space="preserve"> PAGE   \* MERGEFORMAT </w:instrText>
        </w:r>
        <w:r>
          <w:fldChar w:fldCharType="separate"/>
        </w:r>
        <w:r w:rsidR="00407B2A">
          <w:rPr>
            <w:noProof/>
          </w:rPr>
          <w:t>4</w:t>
        </w:r>
        <w:r>
          <w:rPr>
            <w:noProof/>
          </w:rPr>
          <w:fldChar w:fldCharType="end"/>
        </w:r>
      </w:p>
    </w:sdtContent>
  </w:sdt>
  <w:p w:rsidR="003D26C3" w:rsidRDefault="008838E5">
    <w:pPr>
      <w:pStyle w:val="Header"/>
    </w:pPr>
    <w:r w:rsidRPr="003D26C3">
      <w:t>WORKSTATION SAFETY REGARDING REBA AND RULA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26C3" w:rsidRDefault="008838E5">
    <w:pPr>
      <w:pStyle w:val="Header"/>
    </w:pPr>
    <w:r>
      <w:t xml:space="preserve">Running head: </w:t>
    </w:r>
    <w:r w:rsidRPr="003D26C3">
      <w:t>WORKSTATION SAFETY REGARDING REBA AND RULA</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EE8"/>
    <w:rsid w:val="000C27CC"/>
    <w:rsid w:val="00284E9A"/>
    <w:rsid w:val="003439F3"/>
    <w:rsid w:val="003D26C3"/>
    <w:rsid w:val="003D6CA2"/>
    <w:rsid w:val="00407B2A"/>
    <w:rsid w:val="008838E5"/>
    <w:rsid w:val="00922D97"/>
    <w:rsid w:val="00A75F48"/>
    <w:rsid w:val="00B63362"/>
    <w:rsid w:val="00C26046"/>
    <w:rsid w:val="00E36035"/>
    <w:rsid w:val="00E46EE8"/>
    <w:rsid w:val="00E85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4825F9-9EF4-460F-8D96-53DF00FD2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6C3"/>
    <w:rPr>
      <w:rFonts w:ascii="Times New Roman" w:hAnsi="Times New Roman"/>
      <w:sz w:val="24"/>
    </w:rPr>
  </w:style>
  <w:style w:type="paragraph" w:styleId="Footer">
    <w:name w:val="footer"/>
    <w:basedOn w:val="Normal"/>
    <w:link w:val="FooterChar"/>
    <w:uiPriority w:val="99"/>
    <w:unhideWhenUsed/>
    <w:rsid w:val="003D2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6C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2019-02-01T11:02:00Z</dcterms:created>
  <dcterms:modified xsi:type="dcterms:W3CDTF">2019-02-01T11:02:00Z</dcterms:modified>
</cp:coreProperties>
</file>